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1"/>
        <w:rPr>
          <w:rFonts w:ascii="Arial" w:cs="Arial" w:hAnsi="Arial" w:eastAsia="Arial"/>
          <w:sz w:val="24"/>
          <w:szCs w:val="24"/>
        </w:rPr>
      </w:pPr>
    </w:p>
    <w:p>
      <w:pPr>
        <w:pStyle w:val="Title1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Requirements Management Plan Template</w:t>
      </w:r>
    </w:p>
    <w:p>
      <w:pPr>
        <w:pStyle w:val="BU_Text"/>
        <w:spacing w:before="60" w:after="60" w:line="144" w:lineRule="auto"/>
        <w:rPr>
          <w:b w:val="1"/>
          <w:bCs w:val="1"/>
          <w:sz w:val="18"/>
          <w:szCs w:val="18"/>
        </w:rPr>
      </w:pPr>
    </w:p>
    <w:p>
      <w:pPr>
        <w:pStyle w:val="BU_Text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1.0 INTRODUCTION</w:t>
      </w: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1.1 Purpose </w:t>
      </w:r>
    </w:p>
    <w:p>
      <w:pPr>
        <w:pStyle w:val="BU_Indent2"/>
        <w:spacing w:before="60"/>
        <w:rPr>
          <w:sz w:val="20"/>
          <w:szCs w:val="20"/>
        </w:rPr>
      </w:pP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1.2 Scope</w:t>
      </w:r>
    </w:p>
    <w:p>
      <w:pPr>
        <w:pStyle w:val="BU_Bullet_Indent2"/>
        <w:tabs>
          <w:tab w:val="left" w:pos="2160"/>
        </w:tabs>
        <w:spacing w:before="60"/>
        <w:ind w:left="720" w:firstLine="0"/>
        <w:rPr>
          <w:sz w:val="20"/>
          <w:szCs w:val="20"/>
        </w:rPr>
      </w:pP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1.3 Definitions and Acronyms</w:t>
      </w: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</w:p>
    <w:p>
      <w:pPr>
        <w:pStyle w:val="BU_Text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2.0 REQUIREMENTS MANAGEMENT</w:t>
      </w:r>
    </w:p>
    <w:p>
      <w:pPr>
        <w:pStyle w:val="BU_Indent1"/>
        <w:spacing w:before="60" w:after="12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2.1 Stakeholder Roles and Responsibilities</w:t>
      </w:r>
    </w:p>
    <w:tbl>
      <w:tblPr>
        <w:tblW w:w="8103" w:type="dxa"/>
        <w:jc w:val="left"/>
        <w:tblInd w:w="9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33"/>
        <w:gridCol w:w="517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 w:after="60"/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Name / Title</w:t>
            </w:r>
          </w:p>
        </w:tc>
        <w:tc>
          <w:tcPr>
            <w:tcW w:type="dxa" w:w="5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 w:after="60"/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Requirements Process Role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U_Indent1"/>
        <w:widowControl w:val="0"/>
        <w:spacing w:before="60" w:after="120"/>
        <w:ind w:left="856" w:hanging="856"/>
        <w:rPr>
          <w:b w:val="1"/>
          <w:bCs w:val="1"/>
          <w:sz w:val="20"/>
          <w:szCs w:val="20"/>
        </w:rPr>
      </w:pPr>
    </w:p>
    <w:p>
      <w:pPr>
        <w:pStyle w:val="BU_Indent1"/>
        <w:spacing w:before="24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2.2 Processes and Techniques</w:t>
      </w:r>
    </w:p>
    <w:p>
      <w:pPr>
        <w:pStyle w:val="BU_Indent2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2.2.1 Elicitation</w:t>
      </w: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2.2.1.1 Inputs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2.2.1.2 Techniques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Indent2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2.2.2 Requirements Analysis and Documentation</w:t>
      </w: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2.2.2.1 Outputs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2.2.2.2 Techniques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Indent2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2.2.3 Requirements Communication</w:t>
      </w: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2.2.3.1 Inputs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2.2.3.2 Techniques</w:t>
      </w: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</w:p>
    <w:p>
      <w:pPr>
        <w:pStyle w:val="BU_Indent1"/>
        <w:spacing w:before="6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w:br w:type="textWrapping"/>
        <w:br w:type="textWrapping"/>
        <w:br w:type="textWrapping"/>
      </w:r>
      <w:r>
        <w:rPr>
          <w:b w:val="1"/>
          <w:bCs w:val="1"/>
          <w:sz w:val="20"/>
          <w:szCs w:val="20"/>
          <w:rtl w:val="0"/>
          <w:lang w:val="en-US"/>
        </w:rPr>
        <w:t>2.3 Activities</w:t>
      </w:r>
    </w:p>
    <w:p>
      <w:pPr>
        <w:pStyle w:val="BU_Indent2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2.3.1 Milestones</w:t>
      </w:r>
    </w:p>
    <w:p>
      <w:pPr>
        <w:pStyle w:val="BU_Indent2"/>
        <w:spacing w:before="60" w:after="120"/>
        <w:rPr>
          <w:sz w:val="20"/>
          <w:szCs w:val="20"/>
        </w:rPr>
      </w:pPr>
    </w:p>
    <w:p>
      <w:pPr>
        <w:pStyle w:val="BU_Indent2"/>
        <w:spacing w:before="60" w:after="12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2.3.2 Tasks, Estimates, Resources</w:t>
      </w:r>
    </w:p>
    <w:tbl>
      <w:tblPr>
        <w:tblW w:w="9360" w:type="dxa"/>
        <w:jc w:val="left"/>
        <w:tblInd w:w="13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2"/>
        <w:gridCol w:w="6808"/>
      </w:tblGrid>
      <w:tr>
        <w:tblPrEx>
          <w:shd w:val="clear" w:color="auto" w:fill="4f81bd"/>
        </w:tblPrEx>
        <w:trPr>
          <w:trHeight w:val="223" w:hRule="atLeast"/>
          <w:tblHeader/>
        </w:trPr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 w:after="60"/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Task</w:t>
            </w:r>
          </w:p>
        </w:tc>
        <w:tc>
          <w:tcPr>
            <w:tcW w:type="dxa" w:w="68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 w:after="60"/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Resources Required: Time Estimate Per Resource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U_Indent2"/>
        <w:widowControl w:val="0"/>
        <w:spacing w:before="60" w:after="120"/>
        <w:ind w:left="1230" w:hanging="1230"/>
        <w:rPr>
          <w:sz w:val="20"/>
          <w:szCs w:val="20"/>
        </w:rPr>
      </w:pPr>
    </w:p>
    <w:p>
      <w:pPr>
        <w:pStyle w:val="BU_Indent2"/>
        <w:spacing w:before="60"/>
        <w:rPr>
          <w:sz w:val="20"/>
          <w:szCs w:val="20"/>
        </w:rPr>
      </w:pPr>
    </w:p>
    <w:p>
      <w:pPr>
        <w:pStyle w:val="BU_Indent2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2.3.3 Tools</w:t>
      </w:r>
    </w:p>
    <w:p>
      <w:pPr>
        <w:pStyle w:val="BU_Indent3"/>
        <w:spacing w:before="60"/>
        <w:rPr>
          <w:b w:val="1"/>
          <w:bCs w:val="1"/>
          <w:sz w:val="20"/>
          <w:szCs w:val="20"/>
        </w:rPr>
      </w:pPr>
    </w:p>
    <w:p>
      <w:pPr>
        <w:pStyle w:val="BU_Indent2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2.3.4 Assumptions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Indent2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2.3.5 Reports and Measures</w:t>
      </w: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2.3.5.1 Traceability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2.3.5.2 Attributes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Indent3"/>
        <w:spacing w:before="6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2.3.5.3 Requirements Stability Report</w:t>
      </w:r>
    </w:p>
    <w:p>
      <w:pPr>
        <w:pStyle w:val="BU_Indent3"/>
        <w:spacing w:before="60"/>
        <w:rPr>
          <w:sz w:val="20"/>
          <w:szCs w:val="20"/>
        </w:rPr>
      </w:pPr>
    </w:p>
    <w:p>
      <w:pPr>
        <w:pStyle w:val="BU_Text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3.0 CHANGE MANAGEMENT</w:t>
      </w: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3.1 Purpose of Change Management</w:t>
      </w:r>
    </w:p>
    <w:p>
      <w:pPr>
        <w:pStyle w:val="BU_Indent2"/>
        <w:spacing w:before="60"/>
        <w:rPr>
          <w:sz w:val="20"/>
          <w:szCs w:val="20"/>
        </w:rPr>
      </w:pP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3.2 Change Request Form </w:t>
      </w:r>
    </w:p>
    <w:p>
      <w:pPr>
        <w:pStyle w:val="BU_Plain_Bullet_Indent2"/>
        <w:spacing w:before="60"/>
        <w:ind w:left="720" w:firstLine="0"/>
        <w:rPr>
          <w:sz w:val="20"/>
          <w:szCs w:val="20"/>
        </w:rPr>
      </w:pPr>
    </w:p>
    <w:p>
      <w:pPr>
        <w:pStyle w:val="BU_Indent1"/>
        <w:spacing w:before="60" w:after="12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3.3 Change Management Roles and Responsibilities</w:t>
      </w:r>
    </w:p>
    <w:tbl>
      <w:tblPr>
        <w:tblW w:w="8602" w:type="dxa"/>
        <w:jc w:val="left"/>
        <w:tblInd w:w="9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92"/>
        <w:gridCol w:w="561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RowTitle"/>
              <w:spacing w:before="6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Names / Titles</w:t>
            </w:r>
          </w:p>
        </w:tc>
        <w:tc>
          <w:tcPr>
            <w:tcW w:type="dxa" w:w="5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RowTitle"/>
              <w:spacing w:before="6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Role in Change Management Process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before="6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Initiate change request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before="6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Assess impact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before="6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Administers change management process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before="6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Change Control Board (CCB) member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able_Text"/>
              <w:spacing w:before="6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Informed of changes</w:t>
            </w:r>
          </w:p>
        </w:tc>
      </w:tr>
    </w:tbl>
    <w:p>
      <w:pPr>
        <w:pStyle w:val="BU_Indent1"/>
        <w:widowControl w:val="0"/>
        <w:spacing w:before="60" w:after="120"/>
        <w:ind w:left="856" w:hanging="856"/>
        <w:rPr>
          <w:b w:val="1"/>
          <w:bCs w:val="1"/>
          <w:sz w:val="20"/>
          <w:szCs w:val="20"/>
        </w:rPr>
      </w:pPr>
    </w:p>
    <w:p>
      <w:pPr>
        <w:pStyle w:val="BU_Indent1"/>
        <w:spacing w:before="240"/>
        <w:rPr>
          <w:b w:val="1"/>
          <w:bCs w:val="1"/>
          <w:sz w:val="20"/>
          <w:szCs w:val="20"/>
        </w:rPr>
      </w:pPr>
    </w:p>
    <w:p>
      <w:pPr>
        <w:pStyle w:val="BU_Indent1"/>
        <w:spacing w:before="24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BU_Indent1"/>
        <w:spacing w:before="24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w:br w:type="textWrapping"/>
        <w:br w:type="textWrapping"/>
        <w:br w:type="textWrapping"/>
        <w:br w:type="textWrapping"/>
      </w:r>
      <w:r>
        <w:rPr>
          <w:b w:val="1"/>
          <w:bCs w:val="1"/>
          <w:sz w:val="20"/>
          <w:szCs w:val="20"/>
          <w:rtl w:val="0"/>
          <w:lang w:val="en-US"/>
        </w:rPr>
        <w:t>3.4 Process Steps</w:t>
      </w:r>
    </w:p>
    <w:p>
      <w:pPr>
        <w:pStyle w:val="BU_Indent2"/>
        <w:spacing w:before="60"/>
        <w:rPr>
          <w:sz w:val="20"/>
          <w:szCs w:val="20"/>
        </w:rPr>
      </w:pP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3.5 Emergency Procedures</w:t>
      </w:r>
    </w:p>
    <w:p>
      <w:pPr>
        <w:pStyle w:val="BU_Indent2"/>
        <w:spacing w:before="60"/>
        <w:rPr>
          <w:b w:val="1"/>
          <w:bCs w:val="1"/>
          <w:sz w:val="20"/>
          <w:szCs w:val="20"/>
        </w:rPr>
      </w:pP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3.6 Measures and Reports</w:t>
      </w:r>
    </w:p>
    <w:p>
      <w:pPr>
        <w:pStyle w:val="BU_Indent2"/>
        <w:spacing w:before="60"/>
        <w:rPr>
          <w:b w:val="1"/>
          <w:bCs w:val="1"/>
          <w:sz w:val="20"/>
          <w:szCs w:val="20"/>
        </w:rPr>
      </w:pPr>
    </w:p>
    <w:p>
      <w:pPr>
        <w:pStyle w:val="BU_Text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4.0 RISK MANAGEMENT</w:t>
      </w:r>
    </w:p>
    <w:p>
      <w:pPr>
        <w:pStyle w:val="BU_Indent1"/>
        <w:spacing w:after="12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4.1 Roles and Responsibilities</w:t>
      </w:r>
    </w:p>
    <w:tbl>
      <w:tblPr>
        <w:tblW w:w="8620" w:type="dxa"/>
        <w:jc w:val="left"/>
        <w:tblInd w:w="9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31"/>
        <w:gridCol w:w="6089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 w:after="60"/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Name / Title</w:t>
            </w:r>
          </w:p>
        </w:tc>
        <w:tc>
          <w:tcPr>
            <w:tcW w:type="dxa" w:w="6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 w:after="60"/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Risk Management Role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U_Indent1"/>
        <w:widowControl w:val="0"/>
        <w:spacing w:after="120"/>
        <w:ind w:left="856" w:hanging="856"/>
        <w:rPr>
          <w:b w:val="1"/>
          <w:bCs w:val="1"/>
          <w:sz w:val="20"/>
          <w:szCs w:val="20"/>
        </w:rPr>
      </w:pPr>
    </w:p>
    <w:p>
      <w:pPr>
        <w:pStyle w:val="BU_Indent2"/>
        <w:spacing w:before="60"/>
        <w:rPr>
          <w:sz w:val="20"/>
          <w:szCs w:val="20"/>
        </w:rPr>
      </w:pPr>
    </w:p>
    <w:p>
      <w:pPr>
        <w:pStyle w:val="BU_Indent1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4.2 Preliminary Risks</w:t>
      </w:r>
    </w:p>
    <w:p>
      <w:pPr>
        <w:pStyle w:val="BU_Indent2"/>
        <w:spacing w:before="60"/>
        <w:rPr>
          <w:b w:val="1"/>
          <w:bCs w:val="1"/>
          <w:sz w:val="20"/>
          <w:szCs w:val="20"/>
        </w:rPr>
      </w:pPr>
    </w:p>
    <w:p>
      <w:pPr>
        <w:pStyle w:val="Body A"/>
        <w:spacing w:before="6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5.0 TRAINING AND RESOURCES</w:t>
      </w:r>
    </w:p>
    <w:p>
      <w:pPr>
        <w:pStyle w:val="Body A"/>
      </w:pPr>
    </w:p>
    <w:p>
      <w:pPr>
        <w:pStyle w:val="Title1"/>
      </w:pPr>
      <w:r>
        <w:rPr>
          <w:rFonts w:ascii="Arial" w:hAnsi="Arial"/>
          <w:b w:val="0"/>
          <w:bCs w:val="0"/>
          <w:i w:val="1"/>
          <w:i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Extracted from BA111: Core Competencies for the Business Analyst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360" w:right="1440" w:bottom="1440" w:left="1440" w:header="504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 w:line="210" w:lineRule="atLeast"/>
      <w:jc w:val="center"/>
      <w:rPr>
        <w:rFonts w:ascii="Calibri" w:cs="Calibri" w:hAnsi="Calibri" w:eastAsia="Calibri"/>
        <w:outline w:val="0"/>
        <w:color w:val="343434"/>
        <w:sz w:val="18"/>
        <w:szCs w:val="18"/>
        <w:u w:color="343434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</w:pP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t xml:space="preserve"> 300 Brickstone Square, Suite 201, Andover, MA 01810 USA  1.800.288.7246</w:t>
    </w:r>
    <w:r>
      <w:rPr>
        <w:rFonts w:ascii="Calibri" w:cs="Calibri" w:hAnsi="Calibri" w:eastAsia="Calibri"/>
        <w:outline w:val="0"/>
        <w:color w:val="343434"/>
        <w:sz w:val="18"/>
        <w:szCs w:val="18"/>
        <w:u w:color="343434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br w:type="textWrapping"/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t>tel: +1.978.649.8200  fax: +1.978.267.3533  info@corpedgroup.com</w:t>
    </w:r>
  </w:p>
  <w:p>
    <w:pPr>
      <w:pStyle w:val="Normal.0"/>
      <w:jc w:val="center"/>
    </w:pPr>
    <w:r>
      <w:rPr>
        <w:rFonts w:ascii="Calibri" w:hAnsi="Calibri" w:hint="default"/>
        <w:outline w:val="0"/>
        <w:color w:val="343434"/>
        <w:sz w:val="16"/>
        <w:szCs w:val="16"/>
        <w:u w:color="343434"/>
        <w:rtl w:val="0"/>
        <w:lang w:val="en-US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t xml:space="preserve">© 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t>2024 Corporate Education Group operated by CEG Operating Company, LLC. All Rights Reserved.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 w:line="210" w:lineRule="atLeast"/>
      <w:jc w:val="center"/>
      <w:rPr>
        <w:rFonts w:ascii="Calibri" w:cs="Calibri" w:hAnsi="Calibri" w:eastAsia="Calibri"/>
        <w:outline w:val="0"/>
        <w:color w:val="343434"/>
        <w:sz w:val="18"/>
        <w:szCs w:val="18"/>
        <w:u w:color="343434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</w:pP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t xml:space="preserve"> 300 Brickstone Square, Suite 201, Andover, MA 01810 USA  1.800.288.7246</w:t>
    </w:r>
    <w:r>
      <w:rPr>
        <w:rFonts w:ascii="Calibri" w:cs="Calibri" w:hAnsi="Calibri" w:eastAsia="Calibri"/>
        <w:outline w:val="0"/>
        <w:color w:val="343434"/>
        <w:sz w:val="18"/>
        <w:szCs w:val="18"/>
        <w:u w:color="343434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br w:type="textWrapping"/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t>tel: +1.978.649.8200  fax: +1.978.267.3533  info@corpedgroup.com</w:t>
    </w:r>
  </w:p>
  <w:p>
    <w:pPr>
      <w:pStyle w:val="Normal.0"/>
      <w:jc w:val="center"/>
    </w:pPr>
    <w:r>
      <w:rPr>
        <w:rFonts w:ascii="Calibri" w:hAnsi="Calibri" w:hint="default"/>
        <w:outline w:val="0"/>
        <w:color w:val="343434"/>
        <w:sz w:val="16"/>
        <w:szCs w:val="16"/>
        <w:u w:color="343434"/>
        <w:rtl w:val="0"/>
        <w:lang w:val="en-US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t xml:space="preserve">© 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Outline w14:w="12700" w14:cap="flat">
          <w14:noFill/>
          <w14:miter w14:lim="400000"/>
        </w14:textOutline>
        <w14:textFill>
          <w14:solidFill>
            <w14:srgbClr w14:val="343434"/>
          </w14:solidFill>
        </w14:textFill>
      </w:rPr>
      <w:t>2024 Corporate Education Group operated by CEG Operating Company, LLC. All Rights Reserved.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right" w:pos="9340"/>
        <w:tab w:val="clear" w:pos="9360"/>
      </w:tabs>
      <w:spacing w:line="360" w:lineRule="auto"/>
    </w:pPr>
    <w:r>
      <w:drawing xmlns:a="http://schemas.openxmlformats.org/drawingml/2006/main">
        <wp:inline distT="0" distB="0" distL="0" distR="0">
          <wp:extent cx="2688382" cy="537879"/>
          <wp:effectExtent l="0" t="0" r="0" b="0"/>
          <wp:docPr id="1073741825" name="officeArt object" descr="ceg-spectrum-h-gra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eg-spectrum-h-gray.png" descr="ceg-spectrum-h-gray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382" cy="537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right" w:pos="9340"/>
        <w:tab w:val="clear" w:pos="9360"/>
      </w:tabs>
      <w:spacing w:line="360" w:lineRule="auto"/>
    </w:pPr>
    <w:r>
      <w:drawing xmlns:a="http://schemas.openxmlformats.org/drawingml/2006/main">
        <wp:inline distT="0" distB="0" distL="0" distR="0">
          <wp:extent cx="2688382" cy="537879"/>
          <wp:effectExtent l="0" t="0" r="0" b="0"/>
          <wp:docPr id="1073741826" name="officeArt object" descr="ceg-spectrum-h-gra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eg-spectrum-h-gray.png" descr="ceg-spectrum-h-gray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382" cy="537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1">
    <w:name w:val="Title1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88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2b5c86"/>
      <w:spacing w:val="0"/>
      <w:kern w:val="0"/>
      <w:position w:val="0"/>
      <w:sz w:val="38"/>
      <w:szCs w:val="38"/>
      <w:u w:val="none" w:color="2b5c86"/>
      <w:shd w:val="nil" w:color="auto" w:fill="auto"/>
      <w:vertAlign w:val="baseline"/>
      <w:lang w:val="en-US"/>
      <w14:textFill>
        <w14:solidFill>
          <w14:srgbClr w14:val="2B5C86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12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191919"/>
      <w:spacing w:val="0"/>
      <w:kern w:val="0"/>
      <w:position w:val="0"/>
      <w:sz w:val="22"/>
      <w:szCs w:val="22"/>
      <w:u w:val="none" w:color="191919"/>
      <w:shd w:val="nil" w:color="auto" w:fill="auto"/>
      <w:vertAlign w:val="baseline"/>
      <w:lang w:val="en-US"/>
      <w14:textFill>
        <w14:solidFill>
          <w14:srgbClr w14:val="191919"/>
        </w14:solidFill>
      </w14:textFill>
    </w:rPr>
  </w:style>
  <w:style w:type="paragraph" w:styleId="BU_Text">
    <w:name w:val="BU_Text"/>
    <w:next w:val="BU_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_Indent1">
    <w:name w:val="BU_Indent1"/>
    <w:next w:val="BU_Indent1"/>
    <w:pPr>
      <w:keepNext w:val="0"/>
      <w:keepLines w:val="0"/>
      <w:pageBreakBefore w:val="0"/>
      <w:widowControl w:val="1"/>
      <w:shd w:val="clear" w:color="auto" w:fill="auto"/>
      <w:tabs>
        <w:tab w:val="left" w:pos="360"/>
        <w:tab w:val="left" w:pos="720"/>
        <w:tab w:val="left" w:pos="1080"/>
        <w:tab w:val="left" w:pos="1440"/>
      </w:tabs>
      <w:suppressAutoHyphens w:val="0"/>
      <w:bidi w:val="0"/>
      <w:spacing w:before="120" w:after="0" w:line="240" w:lineRule="auto"/>
      <w:ind w:left="36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_Indent2">
    <w:name w:val="BU_Indent2"/>
    <w:next w:val="BU_Indent2"/>
    <w:pPr>
      <w:keepNext w:val="0"/>
      <w:keepLines w:val="0"/>
      <w:pageBreakBefore w:val="0"/>
      <w:widowControl w:val="1"/>
      <w:shd w:val="clear" w:color="auto" w:fill="auto"/>
      <w:tabs>
        <w:tab w:val="left" w:pos="360"/>
        <w:tab w:val="left" w:pos="720"/>
        <w:tab w:val="left" w:pos="1080"/>
        <w:tab w:val="left" w:pos="1440"/>
      </w:tabs>
      <w:suppressAutoHyphens w:val="0"/>
      <w:bidi w:val="0"/>
      <w:spacing w:before="120" w:after="0" w:line="240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_Bullet_Indent2">
    <w:name w:val="BU_Bullet_Indent2"/>
    <w:next w:val="BU_Bullet_Indent2"/>
    <w:pPr>
      <w:keepNext w:val="0"/>
      <w:keepLines w:val="0"/>
      <w:pageBreakBefore w:val="0"/>
      <w:widowControl w:val="1"/>
      <w:shd w:val="clear" w:color="auto" w:fill="auto"/>
      <w:tabs>
        <w:tab w:val="left" w:pos="1080"/>
      </w:tabs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_Indent3">
    <w:name w:val="BU_Indent3"/>
    <w:next w:val="BU_Indent3"/>
    <w:pPr>
      <w:keepNext w:val="0"/>
      <w:keepLines w:val="0"/>
      <w:pageBreakBefore w:val="0"/>
      <w:widowControl w:val="1"/>
      <w:shd w:val="clear" w:color="auto" w:fill="auto"/>
      <w:tabs>
        <w:tab w:val="left" w:pos="360"/>
        <w:tab w:val="left" w:pos="720"/>
        <w:tab w:val="left" w:pos="1080"/>
        <w:tab w:val="left" w:pos="1440"/>
        <w:tab w:val="left" w:pos="1800"/>
      </w:tabs>
      <w:suppressAutoHyphens w:val="0"/>
      <w:bidi w:val="0"/>
      <w:spacing w:before="120" w:after="0" w:line="240" w:lineRule="auto"/>
      <w:ind w:left="108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_Plain_Bullet_Indent2">
    <w:name w:val="BU_Plain_Bullet_Indent2"/>
    <w:next w:val="BU_Plain_Bullet_Indent2"/>
    <w:pPr>
      <w:keepNext w:val="0"/>
      <w:keepLines w:val="0"/>
      <w:pageBreakBefore w:val="0"/>
      <w:widowControl w:val="1"/>
      <w:shd w:val="clear" w:color="auto" w:fill="auto"/>
      <w:tabs>
        <w:tab w:val="left" w:pos="360"/>
        <w:tab w:val="left" w:pos="1080"/>
      </w:tabs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_TableRowTitle">
    <w:name w:val="BU_TableRowTitle"/>
    <w:next w:val="BU_TableRow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U_Table_Text">
    <w:name w:val="BU_Table_Text"/>
    <w:next w:val="BU_Table_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00" w:line="276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