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1"/>
        <w:rPr>
          <w:rStyle w:val="None"/>
          <w:rFonts w:ascii="Arial" w:cs="Arial" w:hAnsi="Arial" w:eastAsia="Arial"/>
          <w:sz w:val="24"/>
          <w:szCs w:val="24"/>
        </w:rPr>
      </w:pPr>
    </w:p>
    <w:p>
      <w:pPr>
        <w:pStyle w:val="Title1"/>
        <w:rPr>
          <w:rStyle w:val="None"/>
          <w:rFonts w:ascii="Arial" w:cs="Arial" w:hAnsi="Arial" w:eastAsia="Arial"/>
          <w:sz w:val="24"/>
          <w:szCs w:val="24"/>
        </w:rPr>
      </w:pPr>
      <w:r>
        <w:rPr>
          <w:rStyle w:val="None"/>
          <w:rFonts w:ascii="Arial" w:hAnsi="Arial"/>
          <w:sz w:val="24"/>
          <w:szCs w:val="24"/>
          <w:rtl w:val="0"/>
          <w:lang w:val="en-US"/>
        </w:rPr>
        <w:t>RACI Matrix Template</w:t>
      </w:r>
    </w:p>
    <w:p>
      <w:pPr>
        <w:pStyle w:val="BU_Subheading"/>
        <w:spacing w:before="0" w:after="120"/>
        <w:rPr>
          <w:rStyle w:val="None"/>
          <w:sz w:val="24"/>
          <w:szCs w:val="24"/>
        </w:rPr>
      </w:pPr>
    </w:p>
    <w:tbl>
      <w:tblPr>
        <w:tblW w:w="94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21"/>
        <w:gridCol w:w="1571"/>
        <w:gridCol w:w="1571"/>
        <w:gridCol w:w="1571"/>
        <w:gridCol w:w="1571"/>
        <w:gridCol w:w="1571"/>
      </w:tblGrid>
      <w:tr>
        <w:tblPrEx>
          <w:shd w:val="clear" w:color="auto" w:fill="ced7e7"/>
        </w:tblPrEx>
        <w:trPr>
          <w:trHeight w:val="426" w:hRule="atLeast"/>
        </w:trPr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jc w:val="right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Person</w:t>
            </w:r>
          </w:p>
        </w:tc>
        <w:tc>
          <w:tcPr>
            <w:tcW w:type="dxa" w:w="15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jc w:val="center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[Stakeholder]</w:t>
            </w:r>
          </w:p>
        </w:tc>
        <w:tc>
          <w:tcPr>
            <w:tcW w:type="dxa" w:w="15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jc w:val="center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[Stakeholder]</w:t>
            </w:r>
          </w:p>
        </w:tc>
        <w:tc>
          <w:tcPr>
            <w:tcW w:type="dxa" w:w="15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jc w:val="center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[Stakeholder]</w:t>
            </w:r>
          </w:p>
        </w:tc>
        <w:tc>
          <w:tcPr>
            <w:tcW w:type="dxa" w:w="15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jc w:val="center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[Stakeholder]</w:t>
            </w:r>
          </w:p>
        </w:tc>
        <w:tc>
          <w:tcPr>
            <w:tcW w:type="dxa" w:w="15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jc w:val="center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[Stakeholder]</w:t>
            </w:r>
          </w:p>
        </w:tc>
      </w:tr>
      <w:tr>
        <w:tblPrEx>
          <w:shd w:val="clear" w:color="auto" w:fill="ced7e7"/>
        </w:tblPrEx>
        <w:trPr>
          <w:trHeight w:val="470" w:hRule="atLeast"/>
        </w:trPr>
        <w:tc>
          <w:tcPr>
            <w:tcW w:type="dxa" w:w="1621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before="120" w:after="0"/>
            </w:pPr>
            <w:r>
              <w:rPr>
                <w:rStyle w:val="None"/>
                <w:rFonts w:ascii="Arial" w:cs="Arial" w:hAnsi="Arial" w:eastAsia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br w:type="textWrapping"/>
            </w: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Deliverable</w:t>
            </w:r>
          </w:p>
        </w:tc>
        <w:tc>
          <w:tcPr>
            <w:tcW w:type="dxa" w:w="15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</w:tcPr>
          <w:p/>
        </w:tc>
        <w:tc>
          <w:tcPr>
            <w:tcW w:type="dxa" w:w="15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</w:tcPr>
          <w:p/>
        </w:tc>
        <w:tc>
          <w:tcPr>
            <w:tcW w:type="dxa" w:w="15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</w:tcPr>
          <w:p/>
        </w:tc>
        <w:tc>
          <w:tcPr>
            <w:tcW w:type="dxa" w:w="15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</w:tcPr>
          <w:p/>
        </w:tc>
        <w:tc>
          <w:tcPr>
            <w:tcW w:type="dxa" w:w="15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</w:tcPr>
          <w:p/>
        </w:tc>
      </w:tr>
      <w:tr>
        <w:tblPrEx>
          <w:shd w:val="clear" w:color="auto" w:fill="ced7e7"/>
        </w:tblPrEx>
        <w:trPr>
          <w:trHeight w:val="714" w:hRule="atLeast"/>
        </w:trPr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Deliverable 1: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04" w:hRule="atLeast"/>
        </w:trPr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Deliverable 2: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04" w:hRule="atLeast"/>
        </w:trPr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Deliverable 3: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04" w:hRule="atLeast"/>
        </w:trPr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Deliverable 4: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4" w:hRule="atLeast"/>
        </w:trPr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Deliverable 5: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U_Subheading"/>
        <w:widowControl w:val="0"/>
        <w:spacing w:before="0" w:after="120"/>
        <w:rPr>
          <w:rStyle w:val="None"/>
          <w:sz w:val="24"/>
          <w:szCs w:val="24"/>
        </w:rPr>
      </w:pPr>
    </w:p>
    <w:p>
      <w:pPr>
        <w:pStyle w:val="BU_Text_Compressed"/>
        <w:rPr>
          <w:rStyle w:val="None"/>
        </w:rPr>
      </w:pPr>
    </w:p>
    <w:tbl>
      <w:tblPr>
        <w:tblW w:w="9559" w:type="dxa"/>
        <w:jc w:val="left"/>
        <w:tblInd w:w="1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07"/>
        <w:gridCol w:w="1487"/>
        <w:gridCol w:w="7265"/>
      </w:tblGrid>
      <w:tr>
        <w:tblPrEx>
          <w:shd w:val="clear" w:color="auto" w:fill="4f81bd"/>
        </w:tblPrEx>
        <w:trPr>
          <w:trHeight w:val="223" w:hRule="atLeast"/>
          <w:tblHeader/>
        </w:trPr>
        <w:tc>
          <w:tcPr>
            <w:tcW w:type="dxa" w:w="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Code</w:t>
            </w:r>
          </w:p>
        </w:tc>
        <w:tc>
          <w:tcPr>
            <w:tcW w:type="dxa" w:w="14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Stands for</w:t>
            </w:r>
          </w:p>
        </w:tc>
        <w:tc>
          <w:tcPr>
            <w:tcW w:type="dxa" w:w="7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2b5c8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This is the person who </w:t>
            </w:r>
            <w:r>
              <w:rPr>
                <w:rStyle w:val="None"/>
                <w:rFonts w:ascii="Arial" w:hAnsi="Arial" w:hint="default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…</w:t>
            </w:r>
            <w:r>
              <w:rPr>
                <w:rStyle w:val="None"/>
                <w:rFonts w:ascii="Arial" w:hAnsi="Arial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75" w:hRule="atLeast"/>
        </w:trPr>
        <w:tc>
          <w:tcPr>
            <w:tcW w:type="dxa" w:w="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R</w:t>
            </w:r>
          </w:p>
        </w:tc>
        <w:tc>
          <w:tcPr>
            <w:tcW w:type="dxa" w:w="14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Responsible</w:t>
            </w:r>
          </w:p>
        </w:tc>
        <w:tc>
          <w:tcPr>
            <w:tcW w:type="dxa" w:w="7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Is the primary Subject Matter Expert (SME) who will take responsibility for ensuring that the requirements are expressed correctly.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14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Accountable</w:t>
            </w:r>
          </w:p>
        </w:tc>
        <w:tc>
          <w:tcPr>
            <w:tcW w:type="dxa" w:w="7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Makes the final decision or approves the specifications.</w:t>
            </w:r>
          </w:p>
        </w:tc>
      </w:tr>
      <w:tr>
        <w:tblPrEx>
          <w:shd w:val="clear" w:color="auto" w:fill="ced7e7"/>
        </w:tblPrEx>
        <w:trPr>
          <w:trHeight w:val="475" w:hRule="atLeast"/>
        </w:trPr>
        <w:tc>
          <w:tcPr>
            <w:tcW w:type="dxa" w:w="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C</w:t>
            </w:r>
          </w:p>
        </w:tc>
        <w:tc>
          <w:tcPr>
            <w:tcW w:type="dxa" w:w="14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Consult</w:t>
            </w:r>
          </w:p>
        </w:tc>
        <w:tc>
          <w:tcPr>
            <w:tcW w:type="dxa" w:w="7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Provides the requirements. These SMEs can be consulted by the business analyst or the responsible SME.</w:t>
            </w:r>
          </w:p>
        </w:tc>
      </w:tr>
      <w:tr>
        <w:tblPrEx>
          <w:shd w:val="clear" w:color="auto" w:fill="ced7e7"/>
        </w:tblPrEx>
        <w:trPr>
          <w:trHeight w:val="475" w:hRule="atLeast"/>
        </w:trPr>
        <w:tc>
          <w:tcPr>
            <w:tcW w:type="dxa" w:w="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14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Inform</w:t>
            </w:r>
          </w:p>
        </w:tc>
        <w:tc>
          <w:tcPr>
            <w:tcW w:type="dxa" w:w="7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rStyle w:val="None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Is informed after the final decision is made and can include stakeholders such as designers, testers, project steering committee, etc.</w:t>
            </w:r>
          </w:p>
        </w:tc>
      </w:tr>
    </w:tbl>
    <w:p>
      <w:pPr>
        <w:pStyle w:val="BU_Text_Compressed"/>
        <w:widowControl w:val="0"/>
        <w:ind w:left="18" w:hanging="18"/>
        <w:rPr>
          <w:rStyle w:val="None"/>
        </w:rPr>
      </w:pPr>
    </w:p>
    <w:p>
      <w:pPr>
        <w:pStyle w:val="BU_Text_Compressed"/>
        <w:rPr>
          <w:rStyle w:val="None"/>
        </w:rPr>
      </w:pPr>
    </w:p>
    <w:p>
      <w:pPr>
        <w:pStyle w:val="Title1"/>
        <w:rPr>
          <w:rStyle w:val="None"/>
          <w:rFonts w:ascii="Arial" w:cs="Arial" w:hAnsi="Arial" w:eastAsia="Arial"/>
          <w:b w:val="0"/>
          <w:bCs w:val="0"/>
          <w:i w:val="1"/>
          <w:iCs w:val="1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itle1"/>
      </w:pPr>
      <w:r>
        <w:rPr>
          <w:rStyle w:val="None"/>
          <w:rFonts w:ascii="Arial" w:hAnsi="Arial"/>
          <w:b w:val="0"/>
          <w:bCs w:val="0"/>
          <w:i w:val="1"/>
          <w:i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Extracted from BA112: Plan, Manage, and Communicate Requirements </w:t>
      </w:r>
    </w:p>
    <w:sectPr>
      <w:headerReference w:type="default" r:id="rId4"/>
      <w:headerReference w:type="even" r:id="rId5"/>
      <w:footerReference w:type="default" r:id="rId6"/>
      <w:footerReference w:type="even" r:id="rId7"/>
      <w:pgSz w:w="12240" w:h="15840" w:orient="portrait"/>
      <w:pgMar w:top="360" w:right="1440" w:bottom="1440" w:left="1440" w:header="504" w:footer="43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before="100" w:after="100" w:line="210" w:lineRule="atLeast"/>
      <w:jc w:val="center"/>
      <w:rPr>
        <w:rStyle w:val="Hyperlink.0"/>
      </w:rPr>
    </w:pPr>
    <w:r>
      <w:rPr>
        <w:rFonts w:ascii="Arial" w:hAnsi="Arial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>300 Brickstone Square</w:t>
    </w:r>
    <w:r>
      <w:rPr>
        <w:rFonts w:ascii="Arial" w:hAnsi="Arial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>,</w:t>
    </w:r>
    <w:r>
      <w:rPr>
        <w:rFonts w:ascii="Arial" w:hAnsi="Arial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 Suite 201 </w:t>
    </w:r>
    <w:r>
      <w:rPr>
        <w:rFonts w:ascii="Arial" w:hAnsi="Arial" w:hint="default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• </w:t>
    </w:r>
    <w:r>
      <w:rPr>
        <w:rFonts w:ascii="Arial" w:hAnsi="Arial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Andover, MA 01810 USA </w:t>
    </w:r>
    <w:r>
      <w:rPr>
        <w:rFonts w:ascii="Arial" w:hAnsi="Arial" w:hint="default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• </w:t>
    </w:r>
    <w:r>
      <w:rPr>
        <w:rFonts w:ascii="Arial" w:hAnsi="Arial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1.800.288.7246 </w:t>
    </w:r>
    <w:r>
      <w:rPr>
        <w:rFonts w:ascii="Arial" w:hAnsi="Arial" w:hint="default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• </w:t>
    </w:r>
    <w:r>
      <w:rPr>
        <w:rFonts w:ascii="Arial" w:hAnsi="Arial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+1.978.649.8200 </w:t>
    </w:r>
    <w:r>
      <w:rPr>
        <w:rFonts w:ascii="Arial" w:hAnsi="Arial" w:hint="default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• </w:t>
    </w:r>
    <w:r>
      <w:rPr>
        <w:rFonts w:ascii="Arial" w:hAnsi="Arial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info@corpedgroup.com </w:t>
    </w:r>
    <w:r>
      <w:rPr>
        <w:rFonts w:ascii="Arial" w:hAnsi="Arial" w:hint="default"/>
        <w:outline w:val="0"/>
        <w:color w:val="343434"/>
        <w:sz w:val="18"/>
        <w:szCs w:val="18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•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"http://www.corpedgroup.com"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en-US"/>
      </w:rPr>
      <w:t>www.corpedgroup.com</w:t>
    </w:r>
    <w:r>
      <w:rPr/>
      <w:fldChar w:fldCharType="end" w:fldLock="0"/>
    </w:r>
  </w:p>
  <w:p>
    <w:pPr>
      <w:pStyle w:val="Normal.0"/>
      <w:jc w:val="center"/>
    </w:pPr>
    <w:r>
      <w:rPr>
        <w:rStyle w:val="None"/>
        <w:rFonts w:ascii="Arial" w:hAnsi="Arial" w:hint="default"/>
        <w:outline w:val="0"/>
        <w:color w:val="343434"/>
        <w:sz w:val="16"/>
        <w:szCs w:val="16"/>
        <w:u w:color="343434"/>
        <w:rtl w:val="0"/>
        <w:lang w:val="en-US"/>
        <w14:textFill>
          <w14:solidFill>
            <w14:srgbClr w14:val="343434"/>
          </w14:solidFill>
        </w14:textFill>
      </w:rPr>
      <w:t>©</w:t>
    </w:r>
    <w:r>
      <w:rPr>
        <w:rStyle w:val="None"/>
        <w:rFonts w:ascii="Arial" w:hAnsi="Arial"/>
        <w:outline w:val="0"/>
        <w:color w:val="343434"/>
        <w:sz w:val="16"/>
        <w:szCs w:val="16"/>
        <w:u w:color="343434"/>
        <w:rtl w:val="0"/>
        <w:lang w:val="en-US"/>
        <w14:textFill>
          <w14:solidFill>
            <w14:srgbClr w14:val="343434"/>
          </w14:solidFill>
        </w14:textFill>
      </w:rPr>
      <w:t>2024 Corporate Education Group, operated by CEG Operating Company, LLC. All Rights Reserved.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before="100" w:after="100" w:line="210" w:lineRule="atLeast"/>
      <w:jc w:val="center"/>
      <w:rPr>
        <w:rStyle w:val="Hyperlink.0"/>
      </w:rPr>
    </w:pPr>
    <w:r>
      <w:rPr>
        <w:rStyle w:val="Hyperlink.0"/>
        <w:rtl w:val="0"/>
        <w:lang w:val="en-US"/>
      </w:rPr>
      <w:t xml:space="preserve"> Corporate Education Group </w:t>
    </w:r>
    <w:r>
      <w:rPr>
        <w:rStyle w:val="Hyperlink.0"/>
        <w:rtl w:val="0"/>
        <w:lang w:val="en-US"/>
      </w:rPr>
      <w:t xml:space="preserve">• </w:t>
    </w:r>
    <w:r>
      <w:rPr>
        <w:rStyle w:val="Hyperlink.0"/>
        <w:rtl w:val="0"/>
        <w:lang w:val="en-US"/>
      </w:rPr>
      <w:t xml:space="preserve">1 Executive Drive, Suite 301 </w:t>
    </w:r>
    <w:r>
      <w:rPr>
        <w:rStyle w:val="Hyperlink.0"/>
        <w:rtl w:val="0"/>
        <w:lang w:val="en-US"/>
      </w:rPr>
      <w:t xml:space="preserve">• </w:t>
    </w:r>
    <w:r>
      <w:rPr>
        <w:rStyle w:val="Hyperlink.0"/>
        <w:rtl w:val="0"/>
        <w:lang w:val="en-US"/>
      </w:rPr>
      <w:t xml:space="preserve">Chelmsford, MA 01824-2558 </w:t>
    </w:r>
    <w:r>
      <w:rPr>
        <w:rStyle w:val="Hyperlink.0"/>
        <w:rtl w:val="0"/>
        <w:lang w:val="en-US"/>
      </w:rPr>
      <w:t xml:space="preserve">• </w:t>
    </w:r>
    <w:r>
      <w:rPr>
        <w:rStyle w:val="Hyperlink.0"/>
        <w:rtl w:val="0"/>
        <w:lang w:val="en-US"/>
      </w:rPr>
      <w:t>USA</w:t>
    </w:r>
  </w:p>
  <w:p>
    <w:pPr>
      <w:pStyle w:val="Normal.0"/>
      <w:spacing w:before="100" w:after="100" w:line="210" w:lineRule="atLeast"/>
      <w:jc w:val="center"/>
      <w:rPr>
        <w:rStyle w:val="Hyperlink.0"/>
      </w:rPr>
    </w:pPr>
    <w:r>
      <w:rPr>
        <w:rStyle w:val="Hyperlink.0"/>
        <w:rtl w:val="0"/>
        <w:lang w:val="en-US"/>
      </w:rPr>
      <w:t xml:space="preserve">1.800.288.7246 (US only) or +1.978.649.8200 </w:t>
    </w:r>
    <w:r>
      <w:rPr>
        <w:rStyle w:val="Hyperlink.0"/>
        <w:rtl w:val="0"/>
        <w:lang w:val="en-US"/>
      </w:rPr>
      <w:t xml:space="preserve">•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"http://www.corpedgroup.com"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en-US"/>
      </w:rPr>
      <w:t>www.corpedgroup.com</w:t>
    </w:r>
    <w:r>
      <w:rPr/>
      <w:fldChar w:fldCharType="end" w:fldLock="0"/>
    </w:r>
  </w:p>
  <w:p>
    <w:pPr>
      <w:pStyle w:val="Normal.0"/>
      <w:jc w:val="center"/>
    </w:pPr>
    <w:r>
      <w:rPr>
        <w:rStyle w:val="None"/>
        <w:rFonts w:ascii="Arial" w:hAnsi="Arial"/>
        <w:outline w:val="0"/>
        <w:color w:val="343434"/>
        <w:sz w:val="16"/>
        <w:szCs w:val="16"/>
        <w:u w:color="343434"/>
        <w:rtl w:val="0"/>
        <w:lang w:val="en-US"/>
        <w14:textFill>
          <w14:solidFill>
            <w14:srgbClr w14:val="343434"/>
          </w14:solidFill>
        </w14:textFill>
      </w:rPr>
      <w:t>Corporate Education Group is operated by TechSkills LLC.</w:t>
    </w:r>
    <w:r>
      <w:rPr>
        <w:rStyle w:val="None"/>
        <w:rFonts w:ascii="Arial" w:hAnsi="Arial" w:hint="default"/>
        <w:outline w:val="0"/>
        <w:color w:val="343434"/>
        <w:sz w:val="16"/>
        <w:szCs w:val="16"/>
        <w:u w:color="343434"/>
        <w:rtl w:val="0"/>
        <w:lang w:val="en-US"/>
        <w14:textFill>
          <w14:solidFill>
            <w14:srgbClr w14:val="343434"/>
          </w14:solidFill>
        </w14:textFill>
      </w:rPr>
      <w:t xml:space="preserve">  © </w:t>
    </w:r>
    <w:r>
      <w:rPr>
        <w:rStyle w:val="None"/>
        <w:rFonts w:ascii="Arial" w:hAnsi="Arial"/>
        <w:outline w:val="0"/>
        <w:color w:val="343434"/>
        <w:sz w:val="16"/>
        <w:szCs w:val="16"/>
        <w:u w:color="343434"/>
        <w:rtl w:val="0"/>
        <w:lang w:val="en-US"/>
        <w14:textFill>
          <w14:solidFill>
            <w14:srgbClr w14:val="343434"/>
          </w14:solidFill>
        </w14:textFill>
      </w:rPr>
      <w:t>2011 Corporate Education Group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right" w:pos="9340"/>
        <w:tab w:val="clear" w:pos="9360"/>
      </w:tabs>
      <w:spacing w:line="360" w:lineRule="auto"/>
      <w:jc w:val="center"/>
    </w:pPr>
    <w:r>
      <w:drawing xmlns:a="http://schemas.openxmlformats.org/drawingml/2006/main">
        <wp:inline distT="0" distB="0" distL="0" distR="0">
          <wp:extent cx="1574800" cy="876936"/>
          <wp:effectExtent l="0" t="0" r="0" b="0"/>
          <wp:docPr id="1073741825" name="officeArt object" descr="ceg-spectrum-logo-sq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eg-spectrum-logo-sq.png" descr="ceg-spectrum-logo-sq.png"/>
                  <pic:cNvPicPr>
                    <a:picLocks noChangeAspect="0"/>
                  </pic:cNvPicPr>
                </pic:nvPicPr>
                <pic:blipFill>
                  <a:blip r:embed="rId1">
                    <a:extLst/>
                  </a:blip>
                  <a:srcRect l="0" t="22280" r="0" b="22280"/>
                  <a:stretch>
                    <a:fillRect/>
                  </a:stretch>
                </pic:blipFill>
                <pic:spPr>
                  <a:xfrm>
                    <a:off x="0" y="0"/>
                    <a:ext cx="1574800" cy="87693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right" w:pos="9340"/>
        <w:tab w:val="clear" w:pos="9360"/>
      </w:tabs>
      <w:spacing w:line="360" w:lineRule="auto"/>
      <w:jc w:val="center"/>
    </w:pPr>
    <w:r>
      <w:rPr>
        <w:rStyle w:val="None"/>
      </w:rPr>
      <w:drawing xmlns:a="http://schemas.openxmlformats.org/drawingml/2006/main">
        <wp:inline distT="0" distB="0" distL="0" distR="0">
          <wp:extent cx="1574800" cy="876936"/>
          <wp:effectExtent l="0" t="0" r="0" b="0"/>
          <wp:docPr id="1073741826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.png" descr="imag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87693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one"/>
      </w:rPr>
      <mc:AlternateContent>
        <mc:Choice Requires="wps">
          <w:drawing xmlns:a="http://schemas.openxmlformats.org/drawingml/2006/main">
            <wp:inline distT="0" distB="0" distL="0" distR="0">
              <wp:extent cx="1574800" cy="876936"/>
              <wp:effectExtent l="0" t="0" r="0" b="0"/>
              <wp:docPr id="1073741827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4800" cy="8769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_x0000_s1026" style="visibility:visible;width:124.0pt;height:69.1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36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outline w:val="0"/>
      <w:color w:val="343434"/>
      <w:sz w:val="18"/>
      <w:szCs w:val="18"/>
      <w:u w:color="343434"/>
      <w14:textFill>
        <w14:solidFill>
          <w14:srgbClr w14:val="343434"/>
        </w14:solidFill>
      </w14:textFill>
    </w:rPr>
  </w:style>
  <w:style w:type="paragraph" w:styleId="Title1">
    <w:name w:val="Title1"/>
    <w:next w:val="Title1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88" w:lineRule="auto"/>
      <w:ind w:left="0" w:right="0" w:firstLine="0"/>
      <w:jc w:val="left"/>
      <w:outlineLvl w:val="9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2b5c86"/>
      <w:spacing w:val="0"/>
      <w:kern w:val="0"/>
      <w:position w:val="0"/>
      <w:sz w:val="38"/>
      <w:szCs w:val="38"/>
      <w:u w:val="none" w:color="2b5c86"/>
      <w:shd w:val="nil" w:color="auto" w:fill="auto"/>
      <w:vertAlign w:val="baseline"/>
      <w:lang w:val="en-US"/>
      <w14:textFill>
        <w14:solidFill>
          <w14:srgbClr w14:val="2B5C86"/>
        </w14:solidFill>
      </w14:textFill>
    </w:rPr>
  </w:style>
  <w:style w:type="paragraph" w:styleId="BU_Subheading">
    <w:name w:val="BU_Subheading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U_Text_Compressed">
    <w:name w:val="BU_Text_Compressed"/>
    <w:next w:val="BU_Text_Compresse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