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rFonts w:ascii="Calibri" w:cs="Calibri" w:hAnsi="Calibri" w:eastAsia="Calibri"/>
          <w:b w:val="1"/>
          <w:bCs w:val="1"/>
          <w:outline w:val="0"/>
          <w:color w:val="2b5c86"/>
          <w:sz w:val="24"/>
          <w:szCs w:val="24"/>
          <w:u w:color="2b5c86"/>
          <w14:textFill>
            <w14:solidFill>
              <w14:srgbClr w14:val="2B5C86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b5c86"/>
          <w:sz w:val="24"/>
          <w:szCs w:val="24"/>
          <w:u w:color="2b5c86"/>
          <w:rtl w:val="0"/>
          <w:lang w:val="en-US"/>
          <w14:textFill>
            <w14:solidFill>
              <w14:srgbClr w14:val="2B5C86"/>
            </w14:solidFill>
          </w14:textFill>
        </w:rPr>
        <w:t>Conflict Resolution Worksheet Template</w:t>
      </w:r>
    </w:p>
    <w:p>
      <w:pPr>
        <w:pStyle w:val="BU_Subtopic_Page_Title"/>
        <w:rPr>
          <w:rStyle w:val="None"/>
          <w:rFonts w:ascii="Calibri" w:cs="Calibri" w:hAnsi="Calibri" w:eastAsia="Calibri"/>
          <w:sz w:val="20"/>
          <w:szCs w:val="20"/>
        </w:rPr>
      </w:pPr>
    </w:p>
    <w:tbl>
      <w:tblPr>
        <w:tblW w:w="924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0"/>
        <w:gridCol w:w="3116"/>
        <w:gridCol w:w="3116"/>
      </w:tblGrid>
      <w:tr>
        <w:tblPrEx>
          <w:shd w:val="clear" w:color="auto" w:fill="ced7e7"/>
        </w:tblPrEx>
        <w:trPr>
          <w:trHeight w:val="300" w:hRule="exact"/>
        </w:trPr>
        <w:tc>
          <w:tcPr>
            <w:tcW w:type="dxa" w:w="9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Participants</w:t>
            </w:r>
          </w:p>
        </w:tc>
      </w:tr>
      <w:tr>
        <w:tblPrEx>
          <w:shd w:val="clear" w:color="auto" w:fill="ced7e7"/>
        </w:tblPrEx>
        <w:trPr>
          <w:trHeight w:val="280" w:hRule="exact"/>
        </w:trPr>
        <w:tc>
          <w:tcPr>
            <w:tcW w:type="dxa" w:w="9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 Identify the participants in the conflict and what you hope to achieve.</w:t>
            </w:r>
          </w:p>
        </w:tc>
      </w:tr>
      <w:tr>
        <w:tblPrEx>
          <w:shd w:val="clear" w:color="auto" w:fill="ced7e7"/>
        </w:tblPrEx>
        <w:trPr>
          <w:trHeight w:val="660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Conflict Participants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  <w:tab/>
            </w:r>
          </w:p>
          <w:p>
            <w:pPr>
              <w:pStyle w:val="BU_Table_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Role:</w:t>
              <w:tab/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  <w:tab/>
            </w:r>
          </w:p>
          <w:p>
            <w:pPr>
              <w:pStyle w:val="BU_Table_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Role:</w:t>
              <w:tab/>
            </w:r>
          </w:p>
        </w:tc>
      </w:tr>
      <w:tr>
        <w:tblPrEx>
          <w:shd w:val="clear" w:color="auto" w:fill="ced7e7"/>
        </w:tblPrEx>
        <w:trPr>
          <w:trHeight w:val="660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Problem</w:t>
            </w:r>
          </w:p>
        </w:tc>
        <w:tc>
          <w:tcPr>
            <w:tcW w:type="dxa" w:w="6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Preferred State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0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Common Ground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exact"/>
        </w:trPr>
        <w:tc>
          <w:tcPr>
            <w:tcW w:type="dxa" w:w="9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Options for Resolution</w:t>
            </w:r>
          </w:p>
        </w:tc>
      </w:tr>
      <w:tr>
        <w:tblPrEx>
          <w:shd w:val="clear" w:color="auto" w:fill="ced7e7"/>
        </w:tblPrEx>
        <w:trPr>
          <w:trHeight w:val="540" w:hRule="exact"/>
        </w:trPr>
        <w:tc>
          <w:tcPr>
            <w:tcW w:type="dxa" w:w="92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 Brainstorm and list the options available to resolve the conflict and identify a residual consequence for each option.</w:t>
            </w:r>
          </w:p>
        </w:tc>
      </w:tr>
      <w:tr>
        <w:tblPrEx>
          <w:shd w:val="clear" w:color="auto" w:fill="ced7e7"/>
        </w:tblPrEx>
        <w:trPr>
          <w:trHeight w:val="280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Options for Resolution: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Option: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Consequence:</w:t>
            </w:r>
          </w:p>
        </w:tc>
      </w:tr>
      <w:tr>
        <w:tblPrEx>
          <w:shd w:val="clear" w:color="auto" w:fill="ced7e7"/>
        </w:tblPrEx>
        <w:trPr>
          <w:trHeight w:val="772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2.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exac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U_Subtopic_Page_Title"/>
        <w:widowControl w:val="0"/>
        <w:ind w:left="216" w:hanging="216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U_Subtopic_Page_Title"/>
        <w:widowControl w:val="0"/>
        <w:ind w:left="108" w:hanging="108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tbl>
      <w:tblPr>
        <w:tblW w:w="946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9"/>
        <w:gridCol w:w="1554"/>
        <w:gridCol w:w="430"/>
        <w:gridCol w:w="1985"/>
        <w:gridCol w:w="777"/>
        <w:gridCol w:w="1208"/>
        <w:gridCol w:w="388"/>
        <w:gridCol w:w="159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Best Options for Resolution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3. Prioritize each option and determine how each will be implemented.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Implementation Plan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Priority</w:t>
            </w:r>
          </w:p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Step Description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Team Member Responsible</w:t>
            </w:r>
          </w:p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Status/Follow-Up</w:t>
            </w:r>
          </w:p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Options for Resolution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4. Always get document signatures. This is useful input for audit trails and historical data.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946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 Name:</w:t>
            </w:r>
          </w:p>
          <w:p>
            <w:pPr>
              <w:pStyle w:val="BU_Table_Tex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 Manager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3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1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Role</w:t>
            </w:r>
          </w:p>
        </w:tc>
        <w:tc>
          <w:tcPr>
            <w:tcW w:type="dxa" w:w="15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able_Text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pacing w:before="240"/>
      </w:pP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By signing this document, I understand and agree with the purpose and contents of this Project Resource Plan document.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36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300 Brickstone Square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Suite 201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Andover, MA 01810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Style w:val="None"/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 Corporate Education Group, operated by CEG Operating Company, LLC. 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Style w:val="Hyperlink.0"/>
        <w:rtl w:val="0"/>
        <w:lang w:val="en-US"/>
      </w:rPr>
      <w:t xml:space="preserve"> Corporate Education Group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 xml:space="preserve">300 Brickstone Square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 xml:space="preserve">Suite 201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 xml:space="preserve">Andover, MA 01810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Style w:val="Hyperlink.0"/>
        <w:rtl w:val="0"/>
        <w:lang w:val="en-US"/>
      </w:rPr>
      <w:t xml:space="preserve">1.800.288.7246 (US only) or +1.978.649.8200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Style w:val="None"/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 Corporate Education Group, operated by CEG Operating Company, LLC. All Rights Reserved.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rPr>
        <w:rStyle w:val="None A"/>
      </w:rPr>
      <w:drawing xmlns:a="http://schemas.openxmlformats.org/drawingml/2006/main">
        <wp:inline distT="0" distB="0" distL="0" distR="0">
          <wp:extent cx="1574800" cy="876937"/>
          <wp:effectExtent l="0" t="0" r="0" b="0"/>
          <wp:docPr id="1073741825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7"/>
                  <a:stretch>
                    <a:fillRect/>
                  </a:stretch>
                </pic:blipFill>
                <pic:spPr>
                  <a:xfrm>
                    <a:off x="0" y="0"/>
                    <a:ext cx="1574800" cy="8769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rPr>
        <w:rStyle w:val="None A"/>
      </w:rPr>
      <w:drawing xmlns:a="http://schemas.openxmlformats.org/drawingml/2006/main">
        <wp:inline distT="0" distB="0" distL="0" distR="0">
          <wp:extent cx="1574800" cy="876937"/>
          <wp:effectExtent l="0" t="0" r="0" b="0"/>
          <wp:docPr id="1073741826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7"/>
                  <a:stretch>
                    <a:fillRect/>
                  </a:stretch>
                </pic:blipFill>
                <pic:spPr>
                  <a:xfrm>
                    <a:off x="0" y="0"/>
                    <a:ext cx="1574800" cy="8769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1919"/>
      <w:spacing w:val="0"/>
      <w:kern w:val="0"/>
      <w:position w:val="0"/>
      <w:sz w:val="22"/>
      <w:szCs w:val="22"/>
      <w:u w:val="none" w:color="191919"/>
      <w:shd w:val="nil" w:color="auto" w:fill="auto"/>
      <w:vertAlign w:val="baseline"/>
      <w:lang w:val="en-US"/>
      <w14:textFill>
        <w14:solidFill>
          <w14:srgbClr w14:val="191919"/>
        </w14:solidFill>
      </w14:textFill>
    </w:rPr>
  </w:style>
  <w:style w:type="paragraph" w:styleId="BU_Subtopic_Page_Title">
    <w:name w:val="BU_Subtopic_Page_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able_Text">
    <w:name w:val="BU_Table_Text"/>
    <w:next w:val="BU_Table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